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hint="eastAsia" w:ascii="仿宋_GB2312" w:hAnsi="宋体" w:cs="宋体"/>
          <w:bCs/>
          <w:kern w:val="0"/>
          <w:sz w:val="24"/>
          <w:szCs w:val="24"/>
        </w:rPr>
      </w:pPr>
      <w:r>
        <w:rPr>
          <w:rFonts w:hint="eastAsia" w:ascii="仿宋_GB2312" w:hAnsi="宋体" w:cs="宋体"/>
          <w:bCs/>
          <w:kern w:val="0"/>
          <w:sz w:val="24"/>
          <w:szCs w:val="24"/>
        </w:rPr>
        <w:t>附件3</w:t>
      </w:r>
    </w:p>
    <w:p>
      <w:pPr>
        <w:widowControl/>
        <w:spacing w:line="400" w:lineRule="exact"/>
        <w:jc w:val="center"/>
        <w:rPr>
          <w:rFonts w:hint="eastAsia" w:ascii="宋体" w:hAnsi="宋体" w:cs="宋体"/>
          <w:b/>
          <w:bCs/>
          <w:kern w:val="0"/>
          <w:sz w:val="24"/>
          <w:szCs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</w:rPr>
        <w:t>村（社区）公共法律服务工作室验收标准</w:t>
      </w:r>
    </w:p>
    <w:bookmarkEnd w:id="0"/>
    <w:tbl>
      <w:tblPr>
        <w:tblStyle w:val="3"/>
        <w:tblpPr w:leftFromText="180" w:rightFromText="180" w:vertAnchor="page" w:horzAnchor="page" w:tblpX="1543" w:tblpY="2758"/>
        <w:tblW w:w="1397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790"/>
        <w:gridCol w:w="7210"/>
        <w:gridCol w:w="1080"/>
        <w:gridCol w:w="1080"/>
        <w:gridCol w:w="16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7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验收项目</w:t>
            </w:r>
          </w:p>
        </w:tc>
        <w:tc>
          <w:tcPr>
            <w:tcW w:w="7210" w:type="dxa"/>
            <w:vAlign w:val="center"/>
          </w:tcPr>
          <w:p>
            <w:pPr>
              <w:widowControl/>
              <w:spacing w:line="300" w:lineRule="exact"/>
              <w:ind w:firstLine="1067" w:firstLineChars="443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验收内容及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分项赋分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验收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方法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得分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（超出验收范围的内容）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188" w:type="dxa"/>
            <w:vMerge w:val="restart"/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left="138" w:hanging="118" w:hangingChars="49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阵地</w:t>
            </w:r>
          </w:p>
          <w:p>
            <w:pPr>
              <w:widowControl/>
              <w:spacing w:line="300" w:lineRule="exact"/>
              <w:ind w:left="138" w:hanging="118" w:hangingChars="49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建设</w:t>
            </w:r>
          </w:p>
          <w:p>
            <w:pPr>
              <w:widowControl/>
              <w:spacing w:line="300" w:lineRule="exact"/>
              <w:ind w:left="138" w:hanging="118" w:hangingChars="4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(40分）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场所建设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(20分)</w:t>
            </w:r>
          </w:p>
        </w:tc>
        <w:tc>
          <w:tcPr>
            <w:tcW w:w="721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1.公共法律服务工作室有阵地。（10分）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2.门牌标识符合标识规范要求。（10分）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实地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查看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188" w:type="dxa"/>
            <w:vMerge w:val="continue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办公设施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(20分)</w:t>
            </w:r>
          </w:p>
        </w:tc>
        <w:tc>
          <w:tcPr>
            <w:tcW w:w="721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工作室配有办公桌椅、电话、电脑和宣传材料架等办公设施。（20分，每项4分，缺一项扣4分）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188" w:type="dxa"/>
            <w:vMerge w:val="restart"/>
            <w:vAlign w:val="top"/>
          </w:tcPr>
          <w:p>
            <w:pPr>
              <w:spacing w:line="300" w:lineRule="exact"/>
              <w:ind w:firstLine="120" w:firstLineChars="50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ind w:firstLine="118" w:firstLineChars="4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ind w:firstLine="118" w:firstLineChars="4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开展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(40分)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人员配备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（12分）</w:t>
            </w:r>
          </w:p>
        </w:tc>
        <w:tc>
          <w:tcPr>
            <w:tcW w:w="7210" w:type="dxa"/>
            <w:vAlign w:val="top"/>
          </w:tcPr>
          <w:p>
            <w:pPr>
              <w:widowControl/>
              <w:tabs>
                <w:tab w:val="right" w:pos="6994"/>
              </w:tabs>
              <w:spacing w:line="300" w:lineRule="exact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1.工作室负责人或专干配备到位。（4分）</w:t>
            </w:r>
          </w:p>
          <w:p>
            <w:pPr>
              <w:widowControl/>
              <w:tabs>
                <w:tab w:val="right" w:pos="6994"/>
              </w:tabs>
              <w:spacing w:line="300" w:lineRule="exact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2.工作室职能职责上墙公开。（4分）</w:t>
            </w:r>
          </w:p>
          <w:p>
            <w:pPr>
              <w:widowControl/>
              <w:tabs>
                <w:tab w:val="right" w:pos="6994"/>
              </w:tabs>
              <w:spacing w:line="300" w:lineRule="exact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3.法律顾问姓名、照片、联系方式、驻点时间在显著位置公开。（4分）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实地查看和座谈交流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88" w:type="dxa"/>
            <w:vMerge w:val="continue"/>
            <w:vAlign w:val="top"/>
          </w:tcPr>
          <w:p>
            <w:pPr>
              <w:spacing w:line="300" w:lineRule="exact"/>
              <w:ind w:firstLine="120" w:firstLineChars="50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业务开展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(19分)</w:t>
            </w:r>
          </w:p>
        </w:tc>
        <w:tc>
          <w:tcPr>
            <w:tcW w:w="721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1.建立法律服务微信群（8分）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2.引导群众寻求法律援助、人民调解、律师、公证、司法鉴定等法律服务。（每一项1分，共5分）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3.协调法律顾问开展现场法律服务、举办法治讲座。（每项3分，共6分）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88" w:type="dxa"/>
            <w:vMerge w:val="continue"/>
            <w:vAlign w:val="top"/>
          </w:tcPr>
          <w:p>
            <w:pPr>
              <w:spacing w:line="300" w:lineRule="exact"/>
              <w:ind w:firstLine="120" w:firstLineChars="50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服务质量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(9分)</w:t>
            </w:r>
          </w:p>
        </w:tc>
        <w:tc>
          <w:tcPr>
            <w:tcW w:w="7210" w:type="dxa"/>
            <w:vAlign w:val="top"/>
          </w:tcPr>
          <w:p>
            <w:pPr>
              <w:widowControl/>
              <w:spacing w:line="300" w:lineRule="exact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服务对象对工作室服务态度、服务能力、服务效果评价。（每项3分，共9分）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1188" w:type="dxa"/>
            <w:vMerge w:val="restart"/>
            <w:vAlign w:val="top"/>
          </w:tcPr>
          <w:p>
            <w:pPr>
              <w:spacing w:line="300" w:lineRule="exact"/>
              <w:ind w:firstLine="239" w:firstLineChars="9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ind w:left="183" w:leftChars="87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运行管理(20分）</w:t>
            </w:r>
          </w:p>
          <w:p>
            <w:pPr>
              <w:spacing w:line="300" w:lineRule="exact"/>
              <w:ind w:firstLine="239" w:firstLineChars="9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ind w:firstLine="118" w:firstLineChars="4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ind w:firstLine="118" w:firstLineChars="4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ind w:firstLine="118" w:firstLineChars="4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信息公开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7210" w:type="dxa"/>
            <w:vAlign w:val="top"/>
          </w:tcPr>
          <w:p>
            <w:pPr>
              <w:widowControl/>
              <w:spacing w:line="300" w:lineRule="exact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1.公示法律援助、人民调解条件、程序。（每项2分，共4分）</w:t>
            </w:r>
          </w:p>
          <w:p>
            <w:pPr>
              <w:widowControl/>
              <w:spacing w:line="300" w:lineRule="exact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2.公示宁夏“12348”公共法律服务热线、宁夏法律服务网、宁夏掌上“12348”微信公众号及宁夏法律服务网APP二维码、宁夏法治公众号。（每项1分，共5分）</w:t>
            </w:r>
          </w:p>
          <w:p>
            <w:pPr>
              <w:widowControl/>
              <w:spacing w:line="300" w:lineRule="exact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3.工作室服务监督、投诉电话。（1分）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实地查看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188" w:type="dxa"/>
            <w:vMerge w:val="continue"/>
            <w:vAlign w:val="top"/>
          </w:tcPr>
          <w:p>
            <w:pPr>
              <w:spacing w:line="300" w:lineRule="exact"/>
              <w:ind w:firstLine="239" w:firstLineChars="9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政策知识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（6分）</w:t>
            </w:r>
          </w:p>
        </w:tc>
        <w:tc>
          <w:tcPr>
            <w:tcW w:w="7210" w:type="dxa"/>
            <w:vAlign w:val="top"/>
          </w:tcPr>
          <w:p>
            <w:pPr>
              <w:widowControl/>
              <w:spacing w:line="300" w:lineRule="exact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工作室专干了解公共法律服务基本政策、相关知识，公共法律服务工作室存在问题清楚，下一步工作思路清晰。（每项2分，共6分）。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88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制度建设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（4分）</w:t>
            </w:r>
          </w:p>
        </w:tc>
        <w:tc>
          <w:tcPr>
            <w:tcW w:w="7210" w:type="dxa"/>
            <w:vAlign w:val="top"/>
          </w:tcPr>
          <w:p>
            <w:pPr>
              <w:widowControl/>
              <w:spacing w:line="300" w:lineRule="exact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工作室有专干职责、法律顾问职责等工作制度。（每项2分，共4分）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300" w:lineRule="exact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说明：1.本次验收考核共100分。2.没有列入验收范围，工作室增加的工作内容要详细记录到“备注”栏，但不单独加分。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仿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92DCA"/>
    <w:rsid w:val="38F92D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2018-09-25T06:34:00Z</dcterms:created>
  <dc:creator>YingNa</dc:creator>
  <cp:lastModifiedBy>YingNa</cp:lastModifiedBy>
  <dcterms:modified xsi:type="dcterms:W3CDTF">2018-09-25T06:34:48Z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